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B07" w:rsidRPr="00D501BA" w:rsidRDefault="00355B07" w:rsidP="00D501BA">
      <w:pPr>
        <w:pStyle w:val="ab"/>
        <w:spacing w:line="240" w:lineRule="exact"/>
        <w:ind w:firstLineChars="0" w:firstLine="0"/>
        <w:rPr>
          <w:rFonts w:ascii="微软雅黑" w:eastAsia="微软雅黑" w:hAnsi="微软雅黑" w:hint="eastAsia"/>
          <w:sz w:val="22"/>
          <w:szCs w:val="22"/>
        </w:rPr>
      </w:pPr>
    </w:p>
    <w:p w:rsidR="00355B07" w:rsidRPr="00D501BA" w:rsidRDefault="00116793" w:rsidP="00D501BA">
      <w:pPr>
        <w:pStyle w:val="ac"/>
        <w:spacing w:line="600" w:lineRule="exact"/>
        <w:rPr>
          <w:rFonts w:ascii="微软雅黑" w:eastAsia="微软雅黑" w:hAnsi="微软雅黑"/>
          <w:b/>
          <w:bCs/>
          <w:color w:val="7030A0"/>
          <w:sz w:val="40"/>
          <w:szCs w:val="40"/>
        </w:rPr>
      </w:pPr>
      <w:r w:rsidRPr="00D501BA">
        <w:rPr>
          <w:rFonts w:ascii="微软雅黑" w:eastAsia="微软雅黑" w:hAnsi="微软雅黑" w:hint="eastAsia"/>
          <w:b/>
          <w:bCs/>
          <w:color w:val="7030A0"/>
          <w:sz w:val="40"/>
          <w:szCs w:val="40"/>
        </w:rPr>
        <w:t>最高人民法院关于涉外民商事案件管辖若干问题的规定</w:t>
      </w:r>
    </w:p>
    <w:p w:rsidR="00355B07" w:rsidRPr="00D501BA" w:rsidRDefault="00355B07" w:rsidP="00D501BA">
      <w:pPr>
        <w:pStyle w:val="ab"/>
        <w:spacing w:line="240" w:lineRule="exact"/>
        <w:ind w:firstLine="440"/>
        <w:rPr>
          <w:rFonts w:ascii="微软雅黑" w:eastAsia="微软雅黑" w:hAnsi="微软雅黑"/>
          <w:color w:val="7030A0"/>
          <w:sz w:val="22"/>
          <w:szCs w:val="22"/>
        </w:rPr>
      </w:pPr>
    </w:p>
    <w:p w:rsidR="00D501BA" w:rsidRDefault="00D501BA" w:rsidP="00D501BA">
      <w:pPr>
        <w:pStyle w:val="ab"/>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023-01-01</w:t>
      </w:r>
      <w:bookmarkStart w:id="0" w:name="_GoBack"/>
      <w:bookmarkEnd w:id="0"/>
    </w:p>
    <w:p w:rsidR="00D501BA" w:rsidRPr="00D501BA" w:rsidRDefault="00D501BA" w:rsidP="00D501BA">
      <w:pPr>
        <w:pStyle w:val="ab"/>
        <w:spacing w:line="240" w:lineRule="exact"/>
        <w:ind w:firstLine="440"/>
        <w:rPr>
          <w:rFonts w:ascii="微软雅黑" w:eastAsia="微软雅黑" w:hAnsi="微软雅黑" w:hint="eastAsia"/>
          <w:sz w:val="22"/>
          <w:szCs w:val="22"/>
        </w:rPr>
      </w:pPr>
    </w:p>
    <w:p w:rsidR="00355B07" w:rsidRPr="00D501BA" w:rsidRDefault="00116793" w:rsidP="00D501BA">
      <w:pPr>
        <w:pStyle w:val="a3"/>
        <w:spacing w:line="240" w:lineRule="exact"/>
        <w:jc w:val="center"/>
        <w:rPr>
          <w:rFonts w:ascii="微软雅黑" w:eastAsia="微软雅黑" w:hAnsi="微软雅黑" w:cs="宋体"/>
          <w:sz w:val="22"/>
          <w:szCs w:val="22"/>
        </w:rPr>
      </w:pPr>
      <w:r w:rsidRPr="00D501BA">
        <w:rPr>
          <w:rFonts w:ascii="微软雅黑" w:eastAsia="微软雅黑" w:hAnsi="微软雅黑" w:cs="宋体" w:hint="eastAsia"/>
          <w:sz w:val="22"/>
          <w:szCs w:val="22"/>
        </w:rPr>
        <w:t>法释〔</w:t>
      </w:r>
      <w:r w:rsidRPr="00D501BA">
        <w:rPr>
          <w:rFonts w:ascii="微软雅黑" w:eastAsia="微软雅黑" w:hAnsi="微软雅黑" w:cs="宋体" w:hint="eastAsia"/>
          <w:sz w:val="22"/>
          <w:szCs w:val="22"/>
        </w:rPr>
        <w:t>2022</w:t>
      </w:r>
      <w:r w:rsidRPr="00D501BA">
        <w:rPr>
          <w:rFonts w:ascii="微软雅黑" w:eastAsia="微软雅黑" w:hAnsi="微软雅黑" w:cs="宋体" w:hint="eastAsia"/>
          <w:sz w:val="22"/>
          <w:szCs w:val="22"/>
        </w:rPr>
        <w:t>〕</w:t>
      </w:r>
      <w:r w:rsidRPr="00D501BA">
        <w:rPr>
          <w:rFonts w:ascii="微软雅黑" w:eastAsia="微软雅黑" w:hAnsi="微软雅黑" w:cs="宋体" w:hint="eastAsia"/>
          <w:sz w:val="22"/>
          <w:szCs w:val="22"/>
        </w:rPr>
        <w:t>18</w:t>
      </w:r>
      <w:r w:rsidRPr="00D501BA">
        <w:rPr>
          <w:rFonts w:ascii="微软雅黑" w:eastAsia="微软雅黑" w:hAnsi="微软雅黑" w:cs="宋体" w:hint="eastAsia"/>
          <w:sz w:val="22"/>
          <w:szCs w:val="22"/>
        </w:rPr>
        <w:t>号</w:t>
      </w:r>
    </w:p>
    <w:p w:rsidR="00355B07" w:rsidRPr="00D501BA" w:rsidRDefault="00355B07" w:rsidP="00D501BA">
      <w:pPr>
        <w:pStyle w:val="ac"/>
        <w:spacing w:line="240" w:lineRule="exact"/>
        <w:rPr>
          <w:rFonts w:ascii="微软雅黑" w:eastAsia="微软雅黑" w:hAnsi="微软雅黑"/>
          <w:sz w:val="22"/>
          <w:szCs w:val="22"/>
        </w:rPr>
      </w:pPr>
    </w:p>
    <w:p w:rsidR="00355B07" w:rsidRPr="00D501BA" w:rsidRDefault="00116793" w:rsidP="00D501BA">
      <w:pPr>
        <w:pStyle w:val="af"/>
        <w:spacing w:line="240" w:lineRule="exact"/>
        <w:ind w:left="630" w:right="630"/>
        <w:rPr>
          <w:rFonts w:ascii="微软雅黑" w:eastAsia="微软雅黑" w:hAnsi="微软雅黑"/>
          <w:sz w:val="22"/>
          <w:szCs w:val="22"/>
        </w:rPr>
      </w:pPr>
      <w:r w:rsidRPr="00D501BA">
        <w:rPr>
          <w:rFonts w:ascii="微软雅黑" w:eastAsia="微软雅黑" w:hAnsi="微软雅黑" w:hint="eastAsia"/>
          <w:sz w:val="22"/>
          <w:szCs w:val="22"/>
        </w:rPr>
        <w:t>（</w:t>
      </w:r>
      <w:r w:rsidRPr="00D501BA">
        <w:rPr>
          <w:rFonts w:ascii="微软雅黑" w:eastAsia="微软雅黑" w:hAnsi="微软雅黑" w:hint="eastAsia"/>
          <w:sz w:val="22"/>
          <w:szCs w:val="22"/>
        </w:rPr>
        <w:t>2022</w:t>
      </w:r>
      <w:r w:rsidRPr="00D501BA">
        <w:rPr>
          <w:rFonts w:ascii="微软雅黑" w:eastAsia="微软雅黑" w:hAnsi="微软雅黑" w:hint="eastAsia"/>
          <w:sz w:val="22"/>
          <w:szCs w:val="22"/>
        </w:rPr>
        <w:t>年</w:t>
      </w:r>
      <w:r w:rsidRPr="00D501BA">
        <w:rPr>
          <w:rFonts w:ascii="微软雅黑" w:eastAsia="微软雅黑" w:hAnsi="微软雅黑" w:hint="eastAsia"/>
          <w:sz w:val="22"/>
          <w:szCs w:val="22"/>
        </w:rPr>
        <w:t>8</w:t>
      </w:r>
      <w:r w:rsidRPr="00D501BA">
        <w:rPr>
          <w:rFonts w:ascii="微软雅黑" w:eastAsia="微软雅黑" w:hAnsi="微软雅黑" w:hint="eastAsia"/>
          <w:sz w:val="22"/>
          <w:szCs w:val="22"/>
        </w:rPr>
        <w:t>月</w:t>
      </w:r>
      <w:r w:rsidRPr="00D501BA">
        <w:rPr>
          <w:rFonts w:ascii="微软雅黑" w:eastAsia="微软雅黑" w:hAnsi="微软雅黑" w:hint="eastAsia"/>
          <w:sz w:val="22"/>
          <w:szCs w:val="22"/>
        </w:rPr>
        <w:t>16</w:t>
      </w:r>
      <w:r w:rsidRPr="00D501BA">
        <w:rPr>
          <w:rFonts w:ascii="微软雅黑" w:eastAsia="微软雅黑" w:hAnsi="微软雅黑" w:hint="eastAsia"/>
          <w:sz w:val="22"/>
          <w:szCs w:val="22"/>
        </w:rPr>
        <w:t>日最高人民法院审判委员会第</w:t>
      </w:r>
      <w:r w:rsidRPr="00D501BA">
        <w:rPr>
          <w:rFonts w:ascii="微软雅黑" w:eastAsia="微软雅黑" w:hAnsi="微软雅黑" w:hint="eastAsia"/>
          <w:sz w:val="22"/>
          <w:szCs w:val="22"/>
        </w:rPr>
        <w:t>1872</w:t>
      </w:r>
      <w:r w:rsidRPr="00D501BA">
        <w:rPr>
          <w:rFonts w:ascii="微软雅黑" w:eastAsia="微软雅黑" w:hAnsi="微软雅黑" w:hint="eastAsia"/>
          <w:sz w:val="22"/>
          <w:szCs w:val="22"/>
        </w:rPr>
        <w:t>次会议通过，自</w:t>
      </w:r>
      <w:r w:rsidRPr="00D501BA">
        <w:rPr>
          <w:rFonts w:ascii="微软雅黑" w:eastAsia="微软雅黑" w:hAnsi="微软雅黑" w:hint="eastAsia"/>
          <w:sz w:val="22"/>
          <w:szCs w:val="22"/>
        </w:rPr>
        <w:t>2023</w:t>
      </w:r>
      <w:r w:rsidRPr="00D501BA">
        <w:rPr>
          <w:rFonts w:ascii="微软雅黑" w:eastAsia="微软雅黑" w:hAnsi="微软雅黑" w:hint="eastAsia"/>
          <w:sz w:val="22"/>
          <w:szCs w:val="22"/>
        </w:rPr>
        <w:t>年</w:t>
      </w:r>
      <w:r w:rsidRPr="00D501BA">
        <w:rPr>
          <w:rFonts w:ascii="微软雅黑" w:eastAsia="微软雅黑" w:hAnsi="微软雅黑" w:hint="eastAsia"/>
          <w:sz w:val="22"/>
          <w:szCs w:val="22"/>
        </w:rPr>
        <w:t>1</w:t>
      </w:r>
      <w:r w:rsidRPr="00D501BA">
        <w:rPr>
          <w:rFonts w:ascii="微软雅黑" w:eastAsia="微软雅黑" w:hAnsi="微软雅黑" w:hint="eastAsia"/>
          <w:sz w:val="22"/>
          <w:szCs w:val="22"/>
        </w:rPr>
        <w:t>月</w:t>
      </w:r>
      <w:r w:rsidRPr="00D501BA">
        <w:rPr>
          <w:rFonts w:ascii="微软雅黑" w:eastAsia="微软雅黑" w:hAnsi="微软雅黑" w:hint="eastAsia"/>
          <w:sz w:val="22"/>
          <w:szCs w:val="22"/>
        </w:rPr>
        <w:t>1</w:t>
      </w:r>
      <w:r w:rsidRPr="00D501BA">
        <w:rPr>
          <w:rFonts w:ascii="微软雅黑" w:eastAsia="微软雅黑" w:hAnsi="微软雅黑" w:hint="eastAsia"/>
          <w:sz w:val="22"/>
          <w:szCs w:val="22"/>
        </w:rPr>
        <w:t>日起施行）</w:t>
      </w:r>
    </w:p>
    <w:p w:rsidR="00355B07" w:rsidRPr="00D501BA" w:rsidRDefault="00355B07" w:rsidP="00C44E35">
      <w:pPr>
        <w:pStyle w:val="a3"/>
        <w:spacing w:line="240" w:lineRule="exact"/>
        <w:jc w:val="center"/>
        <w:rPr>
          <w:rFonts w:ascii="微软雅黑" w:eastAsia="微软雅黑" w:hAnsi="微软雅黑" w:cs="宋体"/>
          <w:sz w:val="24"/>
          <w:szCs w:val="24"/>
        </w:rPr>
      </w:pP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为依法保护中外当事人合法权益，便利当事人诉讼，进一步提升涉外民商事审判质效，根据《中华人民共和国民事诉讼法》的规定，结合审判实践，制定本规定。</w:t>
      </w:r>
    </w:p>
    <w:p w:rsidR="00355B07" w:rsidRPr="00D501BA" w:rsidRDefault="00116793" w:rsidP="00D501BA">
      <w:pPr>
        <w:pStyle w:val="a3"/>
        <w:spacing w:line="440" w:lineRule="exact"/>
        <w:ind w:firstLineChars="200" w:firstLine="480"/>
        <w:rPr>
          <w:rFonts w:ascii="微软雅黑" w:eastAsia="微软雅黑" w:hAnsi="微软雅黑" w:cs="宋体"/>
          <w:sz w:val="24"/>
          <w:szCs w:val="24"/>
        </w:rPr>
      </w:pPr>
      <w:r w:rsidRPr="00D501BA">
        <w:rPr>
          <w:rFonts w:ascii="微软雅黑" w:eastAsia="微软雅黑" w:hAnsi="微软雅黑" w:cs="宋体" w:hint="eastAsia"/>
          <w:b/>
          <w:bCs/>
          <w:sz w:val="24"/>
          <w:szCs w:val="24"/>
        </w:rPr>
        <w:t>第一条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基层人民法院管辖第一审涉外民商事案件，法律、司法解释另有规定的除外。</w:t>
      </w:r>
    </w:p>
    <w:p w:rsidR="00355B07" w:rsidRPr="00D501BA" w:rsidRDefault="00116793" w:rsidP="00D501BA">
      <w:pPr>
        <w:pStyle w:val="a3"/>
        <w:spacing w:line="440" w:lineRule="exact"/>
        <w:ind w:firstLineChars="200" w:firstLine="480"/>
        <w:rPr>
          <w:rFonts w:ascii="微软雅黑" w:eastAsia="微软雅黑" w:hAnsi="微软雅黑" w:cs="宋体"/>
          <w:sz w:val="24"/>
          <w:szCs w:val="24"/>
        </w:rPr>
      </w:pPr>
      <w:r w:rsidRPr="00D501BA">
        <w:rPr>
          <w:rFonts w:ascii="微软雅黑" w:eastAsia="微软雅黑" w:hAnsi="微软雅黑" w:cs="宋体" w:hint="eastAsia"/>
          <w:b/>
          <w:bCs/>
          <w:sz w:val="24"/>
          <w:szCs w:val="24"/>
        </w:rPr>
        <w:t>第二条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中级人民法院管辖下列第一审涉外民商事案件</w:t>
      </w:r>
      <w:r w:rsidRPr="00D501BA">
        <w:rPr>
          <w:rFonts w:ascii="微软雅黑" w:eastAsia="微软雅黑" w:hAnsi="微软雅黑" w:cs="宋体" w:hint="eastAsia"/>
          <w:sz w:val="24"/>
          <w:szCs w:val="24"/>
        </w:rPr>
        <w:t>:</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（一）争议标的额大的涉外民商事案件。</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北京、天津、上海、江苏、浙江、福建、山东、广东、重庆辖区中级人民法院，管辖诉讼标的额人民币</w:t>
      </w:r>
      <w:r w:rsidRPr="00D501BA">
        <w:rPr>
          <w:rFonts w:ascii="微软雅黑" w:eastAsia="微软雅黑" w:hAnsi="微软雅黑" w:cs="宋体" w:hint="eastAsia"/>
          <w:sz w:val="24"/>
          <w:szCs w:val="24"/>
        </w:rPr>
        <w:t>4000</w:t>
      </w:r>
      <w:r w:rsidRPr="00D501BA">
        <w:rPr>
          <w:rFonts w:ascii="微软雅黑" w:eastAsia="微软雅黑" w:hAnsi="微软雅黑" w:cs="宋体" w:hint="eastAsia"/>
          <w:sz w:val="24"/>
          <w:szCs w:val="24"/>
        </w:rPr>
        <w:t>万元以上（包含本数）的涉外民商事案件；</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河北、山西、内蒙古、辽宁、吉林、黑龙江、安徽、江西、河南、湖北、湖南、广西、海南、四川、贵州、云南、西藏、陕西、甘肃、青海、宁夏、新疆辖区中级人民法院，解放军各战区、总直属军事法院，新疆维吾尔自治区高级人民法院生产建设兵团分院所辖各中级人民法院，管辖诉讼标的额人民币</w:t>
      </w:r>
      <w:r w:rsidRPr="00D501BA">
        <w:rPr>
          <w:rFonts w:ascii="微软雅黑" w:eastAsia="微软雅黑" w:hAnsi="微软雅黑" w:cs="宋体" w:hint="eastAsia"/>
          <w:sz w:val="24"/>
          <w:szCs w:val="24"/>
        </w:rPr>
        <w:t>2000</w:t>
      </w:r>
      <w:r w:rsidRPr="00D501BA">
        <w:rPr>
          <w:rFonts w:ascii="微软雅黑" w:eastAsia="微软雅黑" w:hAnsi="微软雅黑" w:cs="宋体" w:hint="eastAsia"/>
          <w:sz w:val="24"/>
          <w:szCs w:val="24"/>
        </w:rPr>
        <w:t>万元以上（包含本数）的涉外民商事案件。</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（二）案情复杂或者一方当事人人数众多的涉外民商事案件。</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（三）其他在本辖区有重大影响的涉外民商事案件。</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法律、司法解释对中级人民法院管辖第一审涉外民商事案件另有规定的，依照相关规</w:t>
      </w:r>
      <w:r w:rsidRPr="00D501BA">
        <w:rPr>
          <w:rFonts w:ascii="微软雅黑" w:eastAsia="微软雅黑" w:hAnsi="微软雅黑" w:cs="宋体" w:hint="eastAsia"/>
          <w:sz w:val="24"/>
          <w:szCs w:val="24"/>
        </w:rPr>
        <w:t>定办理。</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b/>
          <w:bCs/>
          <w:sz w:val="24"/>
          <w:szCs w:val="24"/>
        </w:rPr>
        <w:t>第三条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高级人民法院管辖诉讼标的额人民币</w:t>
      </w:r>
      <w:r w:rsidRPr="00D501BA">
        <w:rPr>
          <w:rFonts w:ascii="微软雅黑" w:eastAsia="微软雅黑" w:hAnsi="微软雅黑" w:cs="宋体" w:hint="eastAsia"/>
          <w:sz w:val="24"/>
          <w:szCs w:val="24"/>
        </w:rPr>
        <w:t>50</w:t>
      </w:r>
      <w:r w:rsidRPr="00D501BA">
        <w:rPr>
          <w:rFonts w:ascii="微软雅黑" w:eastAsia="微软雅黑" w:hAnsi="微软雅黑" w:cs="宋体" w:hint="eastAsia"/>
          <w:sz w:val="24"/>
          <w:szCs w:val="24"/>
        </w:rPr>
        <w:t>亿元以上（包含本数）或者其他在本辖区有重大影响的第一审涉外民商事案件。</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b/>
          <w:bCs/>
          <w:sz w:val="24"/>
          <w:szCs w:val="24"/>
        </w:rPr>
        <w:t>第四条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高级人民法院根据本辖区的实际情况，认为确有必要的，经报最高人民法院批准，可以指定一个或数个基层人民法院、中级人民法院分别对本规定第一条、第二条规定的第一审涉外民商事案件实行跨区域集中管辖。</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依据前款规定实行跨区域集中管辖的，高级人民法院应及时向社会公布</w:t>
      </w:r>
      <w:proofErr w:type="gramStart"/>
      <w:r w:rsidRPr="00D501BA">
        <w:rPr>
          <w:rFonts w:ascii="微软雅黑" w:eastAsia="微软雅黑" w:hAnsi="微软雅黑" w:cs="宋体" w:hint="eastAsia"/>
          <w:sz w:val="24"/>
          <w:szCs w:val="24"/>
        </w:rPr>
        <w:t>该基层</w:t>
      </w:r>
      <w:proofErr w:type="gramEnd"/>
      <w:r w:rsidRPr="00D501BA">
        <w:rPr>
          <w:rFonts w:ascii="微软雅黑" w:eastAsia="微软雅黑" w:hAnsi="微软雅黑" w:cs="宋体" w:hint="eastAsia"/>
          <w:sz w:val="24"/>
          <w:szCs w:val="24"/>
        </w:rPr>
        <w:t>人民法院、中级人民法院相应的管辖区域。</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b/>
          <w:bCs/>
          <w:sz w:val="24"/>
          <w:szCs w:val="24"/>
        </w:rPr>
        <w:t>第五条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涉外民商事案件由专门的审判庭或合议庭审理。</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b/>
          <w:bCs/>
          <w:sz w:val="24"/>
          <w:szCs w:val="24"/>
        </w:rPr>
        <w:t>第六条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涉外海事海商纠纷案件、涉外知识产权纠纷案件、涉外生态环境损害赔偿纠纷案件以及涉外环境民事公益诉讼案件，不适用本规定。</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b/>
          <w:bCs/>
          <w:sz w:val="24"/>
          <w:szCs w:val="24"/>
        </w:rPr>
        <w:t>第七条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涉及香港、澳门特别行政区和台湾地区的民商事案件参照适用本规定。</w:t>
      </w:r>
    </w:p>
    <w:p w:rsidR="00355B07" w:rsidRPr="00D501BA" w:rsidRDefault="00116793" w:rsidP="00D501BA">
      <w:pPr>
        <w:pStyle w:val="a3"/>
        <w:spacing w:line="440" w:lineRule="exact"/>
        <w:rPr>
          <w:rFonts w:ascii="微软雅黑" w:eastAsia="微软雅黑" w:hAnsi="微软雅黑" w:cs="宋体"/>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b/>
          <w:bCs/>
          <w:sz w:val="24"/>
          <w:szCs w:val="24"/>
        </w:rPr>
        <w:t>第八条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本规定自</w:t>
      </w:r>
      <w:r w:rsidRPr="00D501BA">
        <w:rPr>
          <w:rFonts w:ascii="微软雅黑" w:eastAsia="微软雅黑" w:hAnsi="微软雅黑" w:cs="宋体" w:hint="eastAsia"/>
          <w:sz w:val="24"/>
          <w:szCs w:val="24"/>
        </w:rPr>
        <w:t>2023</w:t>
      </w:r>
      <w:r w:rsidRPr="00D501BA">
        <w:rPr>
          <w:rFonts w:ascii="微软雅黑" w:eastAsia="微软雅黑" w:hAnsi="微软雅黑" w:cs="宋体" w:hint="eastAsia"/>
          <w:sz w:val="24"/>
          <w:szCs w:val="24"/>
        </w:rPr>
        <w:t>年</w:t>
      </w:r>
      <w:r w:rsidRPr="00D501BA">
        <w:rPr>
          <w:rFonts w:ascii="微软雅黑" w:eastAsia="微软雅黑" w:hAnsi="微软雅黑" w:cs="宋体" w:hint="eastAsia"/>
          <w:sz w:val="24"/>
          <w:szCs w:val="24"/>
        </w:rPr>
        <w:t>1</w:t>
      </w:r>
      <w:r w:rsidRPr="00D501BA">
        <w:rPr>
          <w:rFonts w:ascii="微软雅黑" w:eastAsia="微软雅黑" w:hAnsi="微软雅黑" w:cs="宋体" w:hint="eastAsia"/>
          <w:sz w:val="24"/>
          <w:szCs w:val="24"/>
        </w:rPr>
        <w:t>月</w:t>
      </w:r>
      <w:r w:rsidRPr="00D501BA">
        <w:rPr>
          <w:rFonts w:ascii="微软雅黑" w:eastAsia="微软雅黑" w:hAnsi="微软雅黑" w:cs="宋体" w:hint="eastAsia"/>
          <w:sz w:val="24"/>
          <w:szCs w:val="24"/>
        </w:rPr>
        <w:t>1</w:t>
      </w:r>
      <w:r w:rsidRPr="00D501BA">
        <w:rPr>
          <w:rFonts w:ascii="微软雅黑" w:eastAsia="微软雅黑" w:hAnsi="微软雅黑" w:cs="宋体" w:hint="eastAsia"/>
          <w:sz w:val="24"/>
          <w:szCs w:val="24"/>
        </w:rPr>
        <w:t>日起施行。本规定施行后受理的案件适用本规定。</w:t>
      </w:r>
    </w:p>
    <w:p w:rsidR="00355B07" w:rsidRPr="00D501BA" w:rsidRDefault="00116793" w:rsidP="00D501BA">
      <w:pPr>
        <w:pStyle w:val="a3"/>
        <w:spacing w:line="440" w:lineRule="exact"/>
        <w:rPr>
          <w:rFonts w:ascii="微软雅黑" w:eastAsia="微软雅黑" w:hAnsi="微软雅黑" w:cs="宋体" w:hint="eastAsia"/>
          <w:sz w:val="24"/>
          <w:szCs w:val="24"/>
        </w:rPr>
      </w:pP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b/>
          <w:bCs/>
          <w:sz w:val="24"/>
          <w:szCs w:val="24"/>
        </w:rPr>
        <w:t>第九条</w:t>
      </w:r>
      <w:r w:rsidRPr="00D501BA">
        <w:rPr>
          <w:rFonts w:ascii="微软雅黑" w:eastAsia="微软雅黑" w:hAnsi="微软雅黑" w:cs="宋体" w:hint="eastAsia"/>
          <w:sz w:val="24"/>
          <w:szCs w:val="24"/>
        </w:rPr>
        <w:t xml:space="preserve">  </w:t>
      </w:r>
      <w:r w:rsidRPr="00D501BA">
        <w:rPr>
          <w:rFonts w:ascii="微软雅黑" w:eastAsia="微软雅黑" w:hAnsi="微软雅黑" w:cs="宋体" w:hint="eastAsia"/>
          <w:sz w:val="24"/>
          <w:szCs w:val="24"/>
        </w:rPr>
        <w:t>本院以前发布的司法解释与本规定不一致的，以本规定为准。</w:t>
      </w:r>
    </w:p>
    <w:sectPr w:rsidR="00355B07" w:rsidRPr="00D501BA" w:rsidSect="00D501BA">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793" w:rsidRDefault="00116793">
      <w:r>
        <w:separator/>
      </w:r>
    </w:p>
  </w:endnote>
  <w:endnote w:type="continuationSeparator" w:id="0">
    <w:p w:rsidR="00116793" w:rsidRDefault="0011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B07" w:rsidRDefault="00116793">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355B07" w:rsidRDefault="00355B07">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B07" w:rsidRDefault="00116793">
    <w:pPr>
      <w:pStyle w:val="a7"/>
      <w:ind w:right="360"/>
    </w:pPr>
    <w:r>
      <w:pict>
        <v:shapetype id="_x0000_t202" coordsize="21600,21600" o:spt="202" path="m,l,21600r21600,l21600,xe">
          <v:stroke joinstyle="miter"/>
          <v:path gradientshapeok="t" o:connecttype="rect"/>
        </v:shapetype>
        <v:shape id="_x0000_s3073" type="#_x0000_t202" style="position:absolute;margin-left:92.8pt;margin-top:-10.5pt;width:2in;height:2in;z-index:251659264;mso-wrap-style:none;mso-position-horizontal:outside;mso-position-horizontal-relative:margin;mso-width-relative:page;mso-height-relative:page" filled="f" stroked="f">
          <v:textbox style="mso-fit-shape-to-text:t" inset="0,0,0,0">
            <w:txbxContent>
              <w:p w:rsidR="00355B07" w:rsidRDefault="00116793">
                <w:pPr>
                  <w:pStyle w:val="a7"/>
                  <w:rPr>
                    <w:rStyle w:val="aa"/>
                  </w:rPr>
                </w:pPr>
                <w:r>
                  <w:rPr>
                    <w:rStyle w:val="aa"/>
                    <w:rFonts w:asciiTheme="minorEastAsia" w:eastAsiaTheme="minorEastAsia" w:hAnsiTheme="minorEastAsia" w:cstheme="minorEastAsia" w:hint="eastAsia"/>
                    <w:sz w:val="28"/>
                    <w:szCs w:val="28"/>
                  </w:rPr>
                  <w:fldChar w:fldCharType="begin"/>
                </w:r>
                <w:r>
                  <w:rPr>
                    <w:rStyle w:val="aa"/>
                    <w:rFonts w:asciiTheme="minorEastAsia" w:eastAsiaTheme="minorEastAsia" w:hAnsiTheme="minorEastAsia" w:cstheme="minorEastAsia" w:hint="eastAsia"/>
                    <w:sz w:val="28"/>
                    <w:szCs w:val="28"/>
                  </w:rPr>
                  <w:instrText xml:space="preserve">PAGE  </w:instrText>
                </w:r>
                <w:r>
                  <w:rPr>
                    <w:rStyle w:val="aa"/>
                    <w:rFonts w:asciiTheme="minorEastAsia" w:eastAsiaTheme="minorEastAsia" w:hAnsiTheme="minorEastAsia" w:cstheme="minorEastAsia" w:hint="eastAsia"/>
                    <w:sz w:val="28"/>
                    <w:szCs w:val="28"/>
                  </w:rPr>
                  <w:fldChar w:fldCharType="separate"/>
                </w:r>
                <w:r>
                  <w:rPr>
                    <w:rStyle w:val="aa"/>
                    <w:rFonts w:asciiTheme="minorEastAsia" w:eastAsiaTheme="minorEastAsia" w:hAnsiTheme="minorEastAsia" w:cstheme="minorEastAsia" w:hint="eastAsia"/>
                    <w:sz w:val="28"/>
                    <w:szCs w:val="28"/>
                  </w:rPr>
                  <w:t>3</w:t>
                </w:r>
                <w:r>
                  <w:rPr>
                    <w:rStyle w:val="aa"/>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793" w:rsidRDefault="00116793">
      <w:r>
        <w:separator/>
      </w:r>
    </w:p>
  </w:footnote>
  <w:footnote w:type="continuationSeparator" w:id="0">
    <w:p w:rsidR="00116793" w:rsidRDefault="00116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A1Mzg0MTE4NTBiM2VjZTgzMmUxYzU4NjczNTk5MmQ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1B3A"/>
    <w:rsid w:val="000F2196"/>
    <w:rsid w:val="000F2D91"/>
    <w:rsid w:val="000F5EBA"/>
    <w:rsid w:val="00105524"/>
    <w:rsid w:val="00105EA6"/>
    <w:rsid w:val="001066EE"/>
    <w:rsid w:val="00106D59"/>
    <w:rsid w:val="00116793"/>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005E"/>
    <w:rsid w:val="001E1AB1"/>
    <w:rsid w:val="001F7F88"/>
    <w:rsid w:val="002064F7"/>
    <w:rsid w:val="00206B2B"/>
    <w:rsid w:val="00215837"/>
    <w:rsid w:val="0021638E"/>
    <w:rsid w:val="002216B9"/>
    <w:rsid w:val="00230E79"/>
    <w:rsid w:val="0023259F"/>
    <w:rsid w:val="00233F94"/>
    <w:rsid w:val="00235183"/>
    <w:rsid w:val="00240246"/>
    <w:rsid w:val="00241E35"/>
    <w:rsid w:val="002428F9"/>
    <w:rsid w:val="00243F11"/>
    <w:rsid w:val="00245BB3"/>
    <w:rsid w:val="00253813"/>
    <w:rsid w:val="00254E9D"/>
    <w:rsid w:val="0025742F"/>
    <w:rsid w:val="00257AC6"/>
    <w:rsid w:val="002671B1"/>
    <w:rsid w:val="00271C80"/>
    <w:rsid w:val="0027403E"/>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7400"/>
    <w:rsid w:val="00327650"/>
    <w:rsid w:val="00334544"/>
    <w:rsid w:val="003370AB"/>
    <w:rsid w:val="00337E4D"/>
    <w:rsid w:val="003407E4"/>
    <w:rsid w:val="00340D0A"/>
    <w:rsid w:val="00342C41"/>
    <w:rsid w:val="00344576"/>
    <w:rsid w:val="00355B07"/>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64FCE"/>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500A"/>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E4FF4"/>
    <w:rsid w:val="005F1B3D"/>
    <w:rsid w:val="005F2985"/>
    <w:rsid w:val="00602816"/>
    <w:rsid w:val="00604ACB"/>
    <w:rsid w:val="00606C5B"/>
    <w:rsid w:val="00612F03"/>
    <w:rsid w:val="006171AA"/>
    <w:rsid w:val="00617304"/>
    <w:rsid w:val="006178C3"/>
    <w:rsid w:val="00621BAF"/>
    <w:rsid w:val="0062410E"/>
    <w:rsid w:val="00626CA5"/>
    <w:rsid w:val="00626CE8"/>
    <w:rsid w:val="0064737F"/>
    <w:rsid w:val="00661621"/>
    <w:rsid w:val="00663037"/>
    <w:rsid w:val="006711F4"/>
    <w:rsid w:val="006744EA"/>
    <w:rsid w:val="0068140B"/>
    <w:rsid w:val="00684B33"/>
    <w:rsid w:val="00685825"/>
    <w:rsid w:val="006869CB"/>
    <w:rsid w:val="0069347C"/>
    <w:rsid w:val="006975AB"/>
    <w:rsid w:val="006B086F"/>
    <w:rsid w:val="006D2483"/>
    <w:rsid w:val="006E1737"/>
    <w:rsid w:val="006E1FF4"/>
    <w:rsid w:val="006E2A70"/>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940D5"/>
    <w:rsid w:val="00796D7F"/>
    <w:rsid w:val="007A0EC4"/>
    <w:rsid w:val="007A51E0"/>
    <w:rsid w:val="007A6544"/>
    <w:rsid w:val="007A7FD3"/>
    <w:rsid w:val="007B2410"/>
    <w:rsid w:val="007C01D1"/>
    <w:rsid w:val="007C5705"/>
    <w:rsid w:val="007D13B8"/>
    <w:rsid w:val="007D77CE"/>
    <w:rsid w:val="007F35C7"/>
    <w:rsid w:val="007F5CC1"/>
    <w:rsid w:val="00802CDC"/>
    <w:rsid w:val="00805E1D"/>
    <w:rsid w:val="00813FEC"/>
    <w:rsid w:val="00814E29"/>
    <w:rsid w:val="008230BD"/>
    <w:rsid w:val="00823C1E"/>
    <w:rsid w:val="00826135"/>
    <w:rsid w:val="00826D77"/>
    <w:rsid w:val="0083338D"/>
    <w:rsid w:val="00855283"/>
    <w:rsid w:val="008701AB"/>
    <w:rsid w:val="0087139A"/>
    <w:rsid w:val="00871D0F"/>
    <w:rsid w:val="008760A5"/>
    <w:rsid w:val="00877798"/>
    <w:rsid w:val="008802DB"/>
    <w:rsid w:val="00881967"/>
    <w:rsid w:val="00885F48"/>
    <w:rsid w:val="00890F76"/>
    <w:rsid w:val="0089274E"/>
    <w:rsid w:val="008979B8"/>
    <w:rsid w:val="008A08FA"/>
    <w:rsid w:val="008C0131"/>
    <w:rsid w:val="008C781C"/>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249D"/>
    <w:rsid w:val="00AA03DB"/>
    <w:rsid w:val="00AA164E"/>
    <w:rsid w:val="00AA3B2D"/>
    <w:rsid w:val="00AA7268"/>
    <w:rsid w:val="00AB0D6D"/>
    <w:rsid w:val="00AB68DD"/>
    <w:rsid w:val="00AC2B0B"/>
    <w:rsid w:val="00AC4F2A"/>
    <w:rsid w:val="00AC64A7"/>
    <w:rsid w:val="00AD35D8"/>
    <w:rsid w:val="00AD6BB8"/>
    <w:rsid w:val="00AF6D19"/>
    <w:rsid w:val="00B018B8"/>
    <w:rsid w:val="00B06BB4"/>
    <w:rsid w:val="00B13F2A"/>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4E35"/>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171D8"/>
    <w:rsid w:val="00D21DEB"/>
    <w:rsid w:val="00D328DE"/>
    <w:rsid w:val="00D3514F"/>
    <w:rsid w:val="00D501BA"/>
    <w:rsid w:val="00D5052C"/>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2CD0"/>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29F849C4"/>
    <w:rsid w:val="2DF25F70"/>
    <w:rsid w:val="5FBE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9229EC"/>
  <w15:docId w15:val="{F35B3FDC-6C63-4635-8255-974126C6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b">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c">
    <w:name w:val="法 标题"/>
    <w:qFormat/>
    <w:pPr>
      <w:widowControl w:val="0"/>
      <w:spacing w:line="560" w:lineRule="exact"/>
      <w:jc w:val="center"/>
    </w:pPr>
    <w:rPr>
      <w:rFonts w:ascii="仿宋_GB2312" w:hAnsi="仿宋_GB2312" w:cs="仿宋_GB2312"/>
      <w:kern w:val="2"/>
      <w:sz w:val="44"/>
      <w:szCs w:val="32"/>
    </w:rPr>
  </w:style>
  <w:style w:type="character" w:customStyle="1" w:styleId="ad">
    <w:name w:val="黑体　三号"/>
    <w:basedOn w:val="a0"/>
    <w:uiPriority w:val="1"/>
    <w:qFormat/>
    <w:rPr>
      <w:rFonts w:eastAsia="黑体"/>
      <w:sz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f">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A024D-B152-4D0A-9930-7551D327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879</Characters>
  <Application>Microsoft Office Word</Application>
  <DocSecurity>0</DocSecurity>
  <Lines>7</Lines>
  <Paragraphs>2</Paragraphs>
  <ScaleCrop>false</ScaleCrop>
  <Company>Lenovo (Beijing) Limited</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2014-04-03T09:04:00Z</cp:lastPrinted>
  <dcterms:created xsi:type="dcterms:W3CDTF">2022-10-17T06:22:00Z</dcterms:created>
  <dcterms:modified xsi:type="dcterms:W3CDTF">2025-08-26T08:37:00Z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58E64E9EEBAF46A3918E976E6A10EDD4</vt:lpwstr>
  </property>
</Properties>
</file>